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bookmarkStart w:colFirst="0" w:colLast="0" w:name="_heading=h.30j0zll" w:id="0"/>
      <w:bookmarkEnd w:id="0"/>
      <w:r w:rsidDel="00000000" w:rsidR="00000000" w:rsidRPr="00000000">
        <w:rPr>
          <w:rtl w:val="0"/>
        </w:rPr>
      </w:r>
    </w:p>
    <w:tbl>
      <w:tblPr>
        <w:tblStyle w:val="Table1"/>
        <w:tblW w:w="172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0"/>
        <w:gridCol w:w="2467"/>
        <w:gridCol w:w="2467"/>
        <w:gridCol w:w="2467"/>
        <w:gridCol w:w="2466"/>
        <w:gridCol w:w="2355"/>
        <w:gridCol w:w="2565"/>
        <w:tblGridChange w:id="0">
          <w:tblGrid>
            <w:gridCol w:w="2470"/>
            <w:gridCol w:w="2467"/>
            <w:gridCol w:w="2467"/>
            <w:gridCol w:w="2467"/>
            <w:gridCol w:w="2466"/>
            <w:gridCol w:w="2355"/>
            <w:gridCol w:w="2565"/>
          </w:tblGrid>
        </w:tblGridChange>
      </w:tblGrid>
      <w:tr>
        <w:tc>
          <w:tcPr>
            <w:shd w:fill="ffffff" w:val="clear"/>
          </w:tcPr>
          <w:p w:rsidR="00000000" w:rsidDel="00000000" w:rsidP="00000000" w:rsidRDefault="00000000" w:rsidRPr="00000000" w14:paraId="0000000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DESCRIPCIÓN DEL SERVICIO</w:t>
            </w:r>
          </w:p>
        </w:tc>
        <w:tc>
          <w:tcPr>
            <w:shd w:fill="ffffff" w:val="clear"/>
          </w:tcPr>
          <w:p w:rsidR="00000000" w:rsidDel="00000000" w:rsidP="00000000" w:rsidRDefault="00000000" w:rsidRPr="00000000" w14:paraId="0000000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REQUISITOS Y ANTECEDENTES PARA ACCEDER AL SERVICIO</w:t>
            </w:r>
          </w:p>
        </w:tc>
        <w:tc>
          <w:tcPr>
            <w:shd w:fill="ffffff" w:val="clear"/>
          </w:tcPr>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 REALIZA EL TRAMITE EN LÍNEA</w:t>
            </w:r>
          </w:p>
        </w:tc>
        <w:tc>
          <w:tcPr>
            <w:shd w:fill="ffffff" w:val="clear"/>
          </w:tcPr>
          <w:p w:rsidR="00000000" w:rsidDel="00000000" w:rsidP="00000000" w:rsidRDefault="00000000" w:rsidRPr="00000000" w14:paraId="0000000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TRAMITES A REALIZAR O ETAPAS DEL TRAMITE</w:t>
            </w:r>
          </w:p>
        </w:tc>
        <w:tc>
          <w:tcPr>
            <w:shd w:fill="ffffff" w:val="clear"/>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w:t>
            </w:r>
          </w:p>
        </w:tc>
        <w:tc>
          <w:tcPr>
            <w:shd w:fill="ffffff" w:val="clear"/>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LUGAR/ES DONDE SE REALIZA</w:t>
            </w:r>
          </w:p>
        </w:tc>
        <w:tc>
          <w:tcPr>
            <w:shd w:fill="ffffff" w:val="clear"/>
          </w:tcPr>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ENLACE A INFORMACIÓN COMPLEMENTARIA.</w:t>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LINK</w:t>
            </w:r>
          </w:p>
        </w:tc>
      </w:tr>
      <w:tr>
        <w:tc>
          <w:tcPr>
            <w:shd w:fill="ffffff" w:val="clear"/>
          </w:tcPr>
          <w:p w:rsidR="00000000" w:rsidDel="00000000" w:rsidP="00000000" w:rsidRDefault="00000000" w:rsidRPr="00000000" w14:paraId="0000000A">
            <w:pPr>
              <w:spacing w:after="200" w:lineRule="auto"/>
              <w:rPr>
                <w:rFonts w:ascii="Arial" w:cs="Arial" w:eastAsia="Arial" w:hAnsi="Arial"/>
                <w:b w:val="1"/>
                <w:sz w:val="20"/>
                <w:szCs w:val="20"/>
              </w:rPr>
            </w:pPr>
            <w:bookmarkStart w:colFirst="0" w:colLast="0" w:name="_heading=h.gjdgxs" w:id="1"/>
            <w:bookmarkEnd w:id="1"/>
            <w:r w:rsidDel="00000000" w:rsidR="00000000" w:rsidRPr="00000000">
              <w:rPr>
                <w:rFonts w:ascii="Arial" w:cs="Arial" w:eastAsia="Arial" w:hAnsi="Arial"/>
                <w:b w:val="1"/>
                <w:sz w:val="20"/>
                <w:szCs w:val="20"/>
                <w:rtl w:val="0"/>
              </w:rPr>
              <w:t xml:space="preserve">PROGRAMA VÍNCULOS (SENAMA):</w:t>
            </w:r>
          </w:p>
          <w:p w:rsidR="00000000" w:rsidDel="00000000" w:rsidP="00000000" w:rsidRDefault="00000000" w:rsidRPr="00000000" w14:paraId="0000000B">
            <w:pP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Entregar herramientas de apoyo psicosocial y socio-ocupacional a personas mayores de 65 años en situación de vulnerabilidad social, para que logren vincularse con la red de apoyo social de su comuna y con sus pares.</w:t>
            </w:r>
          </w:p>
          <w:p w:rsidR="00000000" w:rsidDel="00000000" w:rsidP="00000000" w:rsidRDefault="00000000" w:rsidRPr="00000000" w14:paraId="0000000C">
            <w:pPr>
              <w:spacing w:after="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200" w:lineRule="auto"/>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200"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Programa no postulable.</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200"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Asignación a través de nómina exclusiva determinada por SENAMA y Ministerio de Desarrollo Social y Familia</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200"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Es candidato al programa toda persona de 65 años y más, residente de Viña del Mar.</w:t>
            </w:r>
          </w:p>
        </w:tc>
        <w:tc>
          <w:tcPr>
            <w:shd w:fill="ffffff" w:val="clear"/>
          </w:tcPr>
          <w:p w:rsidR="00000000" w:rsidDel="00000000" w:rsidP="00000000" w:rsidRDefault="00000000" w:rsidRPr="00000000" w14:paraId="00000011">
            <w:pP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tc>
        <w:tc>
          <w:tcPr>
            <w:shd w:fill="ffffff" w:val="clear"/>
          </w:tcPr>
          <w:p w:rsidR="00000000" w:rsidDel="00000000" w:rsidP="00000000" w:rsidRDefault="00000000" w:rsidRPr="00000000" w14:paraId="00000012">
            <w:pPr>
              <w:numPr>
                <w:ilvl w:val="0"/>
                <w:numId w:val="1"/>
              </w:numPr>
              <w:spacing w:after="200"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 se postula, pues las nóminas con los potenciales beneficiarios del programa emana desde el Ministerio de Desarrollo Social a través de la información que entrega el registro social de hogares, los monitores Comunitarios llegan a los domicilios ofreciendo la incorporación al Programa.</w:t>
            </w:r>
          </w:p>
        </w:tc>
        <w:tc>
          <w:tcPr>
            <w:shd w:fill="ffffff" w:val="clear"/>
          </w:tcPr>
          <w:p w:rsidR="00000000" w:rsidDel="00000000" w:rsidP="00000000" w:rsidRDefault="00000000" w:rsidRPr="00000000" w14:paraId="00000013">
            <w:pP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Gratuito.</w:t>
            </w:r>
          </w:p>
        </w:tc>
        <w:tc>
          <w:tcPr>
            <w:shd w:fill="ffffff" w:val="clear"/>
          </w:tcPr>
          <w:p w:rsidR="00000000" w:rsidDel="00000000" w:rsidP="00000000" w:rsidRDefault="00000000" w:rsidRPr="00000000" w14:paraId="00000014">
            <w:pPr>
              <w:numPr>
                <w:ilvl w:val="0"/>
                <w:numId w:val="2"/>
              </w:numPr>
              <w:spacing w:after="200"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Programa no postulable.</w:t>
            </w:r>
          </w:p>
        </w:tc>
        <w:tc>
          <w:tcPr>
            <w:shd w:fill="ffffff" w:val="clear"/>
          </w:tcPr>
          <w:p w:rsidR="00000000" w:rsidDel="00000000" w:rsidP="00000000" w:rsidRDefault="00000000" w:rsidRPr="00000000" w14:paraId="00000015">
            <w:pP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http://www.senama.gob.cl/vinculos</w:t>
            </w:r>
          </w:p>
          <w:p w:rsidR="00000000" w:rsidDel="00000000" w:rsidP="00000000" w:rsidRDefault="00000000" w:rsidRPr="00000000" w14:paraId="00000016">
            <w:pP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https://gruposprioritariosvina.cl/adulto-mayor/programa-vinculos/</w:t>
            </w:r>
          </w:p>
          <w:p w:rsidR="00000000" w:rsidDel="00000000" w:rsidP="00000000" w:rsidRDefault="00000000" w:rsidRPr="00000000" w14:paraId="00000017">
            <w:pPr>
              <w:spacing w:after="20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Informaciones:</w:t>
            </w:r>
          </w:p>
          <w:p w:rsidR="00000000" w:rsidDel="00000000" w:rsidP="00000000" w:rsidRDefault="00000000" w:rsidRPr="00000000" w14:paraId="00000018">
            <w:pPr>
              <w:spacing w:after="20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Departamento de Atención a Grupos Prioritarios</w:t>
            </w:r>
          </w:p>
          <w:p w:rsidR="00000000" w:rsidDel="00000000" w:rsidP="00000000" w:rsidRDefault="00000000" w:rsidRPr="00000000" w14:paraId="00000019">
            <w:pP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 Valparaíso Nº729, Viña del Mar.</w:t>
            </w:r>
          </w:p>
          <w:p w:rsidR="00000000" w:rsidDel="00000000" w:rsidP="00000000" w:rsidRDefault="00000000" w:rsidRPr="00000000" w14:paraId="0000001A">
            <w:pP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Fonos:(32) 218 5404 - 218 5424</w:t>
            </w:r>
          </w:p>
          <w:p w:rsidR="00000000" w:rsidDel="00000000" w:rsidP="00000000" w:rsidRDefault="00000000" w:rsidRPr="00000000" w14:paraId="0000001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IMPORTANTE:</w:t>
            </w:r>
          </w:p>
          <w:p w:rsidR="00000000" w:rsidDel="00000000" w:rsidP="00000000" w:rsidRDefault="00000000" w:rsidRPr="00000000" w14:paraId="0000001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Dada la contingencia nacional por coronavirus, en las dependencias del Departamento (todas sus oficinas) sólo se realizan atenciones presenciales de carácter urgente, prestadas por personal en sistema de turnos éticos, por lo que la atención a público es de Lunes a Viernes de 09:00 a 14:00 horas, hasta nuevo aviso.</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Para consultas, prefiera el uso de los fonos de contacto.</w:t>
            </w:r>
            <w:r w:rsidDel="00000000" w:rsidR="00000000" w:rsidRPr="00000000">
              <w:rPr>
                <w:rtl w:val="0"/>
              </w:rPr>
            </w:r>
          </w:p>
        </w:tc>
      </w:tr>
    </w:tbl>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sectPr>
      <w:pgSz w:h="12242" w:w="18722"/>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aconcuadrcula">
    <w:name w:val="Table Grid"/>
    <w:basedOn w:val="Tablanormal"/>
    <w:uiPriority w:val="39"/>
    <w:rsid w:val="00C8073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985E86"/>
    <w:pPr>
      <w:ind w:left="720"/>
      <w:contextualSpacing w:val="1"/>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3"/>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3"/>
    <w:pPr>
      <w:spacing w:after="0"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3"/>
    <w:pPr>
      <w:spacing w:after="0"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3"/>
    <w:pPr>
      <w:spacing w:after="0" w:line="240" w:lineRule="auto"/>
    </w:pPr>
    <w:tblPr>
      <w:tblStyleRowBandSize w:val="1"/>
      <w:tblStyleColBandSize w:val="1"/>
      <w:tblCellMar>
        <w:top w:w="0.0" w:type="dxa"/>
        <w:left w:w="108.0" w:type="dxa"/>
        <w:bottom w:w="0.0" w:type="dxa"/>
        <w:right w:w="108.0" w:type="dxa"/>
      </w:tblCellMar>
    </w:tblPr>
  </w:style>
  <w:style w:type="table" w:styleId="a3" w:customStyle="1">
    <w:basedOn w:val="TableNormal3"/>
    <w:pPr>
      <w:spacing w:after="0" w:line="240" w:lineRule="auto"/>
    </w:pPr>
    <w:tblPr>
      <w:tblStyleRowBandSize w:val="1"/>
      <w:tblStyleColBandSize w:val="1"/>
      <w:tblCellMar>
        <w:top w:w="0.0" w:type="dxa"/>
        <w:left w:w="108.0" w:type="dxa"/>
        <w:bottom w:w="0.0" w:type="dxa"/>
        <w:right w:w="108.0" w:type="dxa"/>
      </w:tblCellMar>
    </w:tblPr>
  </w:style>
  <w:style w:type="paragraph" w:styleId="Textodeglobo">
    <w:name w:val="Balloon Text"/>
    <w:basedOn w:val="Normal"/>
    <w:link w:val="TextodegloboCar"/>
    <w:uiPriority w:val="99"/>
    <w:semiHidden w:val="1"/>
    <w:unhideWhenUsed w:val="1"/>
    <w:rsid w:val="006E5162"/>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E516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us6C2bu6K43Qah2BE+91ijTqA==">AMUW2mWgaKZGnc7Q+5GsTLLLqcDZXbFquVLu5KwEHY+1W3620fdBojmqAgNeBBmM/01VpQf/MZIJh3Y9Pba2wAA/4Tc2GbgXYVDNg6OmjxfgiJ46VfGaPW594E2DIXig6deHzxoPzAJN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2019-05-03T19:28:00Z</dcterms:created>
  <dc:creator>Susana Huerta</dc:creator>
</cp:coreProperties>
</file>